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14:paraId="00000001">
      <w:pPr>
        <w:jc w:val="left"/>
        <w:rPr>
          <w:rFonts w:ascii="Muli" w:cs="Muli" w:eastAsia="Muli" w:hAnsi="Muli"/>
          <w:b w:val="1"/>
          <w:sz w:val="24"/>
        </w:rPr>
      </w:pPr>
      <w:r>
        <w:rPr>
          <w:rFonts w:ascii="Muli" w:hAnsi="Muli" w:cs="Muli" w:eastAsia="Muli"/>
          <w:b w:val="1"/>
          <w:sz w:val="24"/>
        </w:rPr>
        <w:t xml:space="preserve">Grupos de Trabalho da INEE</w:t>
      </w:r>
    </w:p>
    <w:p w14:paraId="00000002">
      <w:pPr>
        <w:jc w:val="left"/>
        <w:rPr>
          <w:rFonts w:ascii="Muli" w:cs="Muli" w:eastAsia="Muli" w:hAnsi="Muli"/>
          <w:b w:val="1"/>
          <w:sz w:val="28"/>
        </w:rPr>
      </w:pPr>
      <w:hyperlink r:id="rId6">
        <w:r>
          <w:rPr>
            <w:rFonts w:ascii="Muli" w:hAnsi="Muli" w:cs="Muli" w:eastAsia="Muli"/>
            <w:b w:val="1"/>
            <w:color w:val="1155cc"/>
            <w:sz w:val="28"/>
            <w:u w:val="single"/>
          </w:rPr>
          <w:t xml:space="preserve">Grupo de Trabalho sobre Normas e Práticas</w:t>
        </w:r>
      </w:hyperlink>
    </w:p>
    <w:p w14:paraId="00000003">
      <w:pPr>
        <w:rPr>
          <w:rFonts w:ascii="Muli" w:cs="Muli" w:eastAsia="Muli" w:hAnsi="Muli"/>
          <w:i w:val="1"/>
        </w:rPr>
      </w:pPr>
      <w:r>
        <w:rPr>
          <w:rFonts w:ascii="Muli" w:hAnsi="Muli" w:cs="Muli" w:eastAsia="Muli"/>
          <w:i w:val="1"/>
        </w:rPr>
        <w:t xml:space="preserve">Última atualização a 31 de julho de 2019</w:t>
      </w:r>
    </w:p>
    <w:p w14:paraId="00000004">
      <w:pPr>
        <w:jc w:val="left"/>
        <w:rPr>
          <w:rFonts w:ascii="Muli" w:cs="Muli" w:eastAsia="Muli" w:hAnsi="Muli"/>
          <w:highlight w:val="yellow"/>
        </w:rPr>
      </w:pPr>
    </w:p>
    <w:p w14:paraId="00000005">
      <w:pPr>
        <w:jc w:val="center"/>
        <w:rPr>
          <w:rFonts w:ascii="Muli" w:cs="Muli" w:eastAsia="Muli" w:hAnsi="Muli"/>
          <w:b w:val="1"/>
          <w:u w:val="single"/>
        </w:rPr>
      </w:pPr>
      <w:r>
        <w:rPr>
          <w:rFonts w:ascii="Muli" w:hAnsi="Muli" w:cs="Muli" w:eastAsia="Muli"/>
          <w:b w:val="1"/>
          <w:u w:val="single"/>
        </w:rPr>
        <w:drawing>
          <wp:inline distB="114300" distT="114300" distL="114300" distR="114300">
            <wp:extent cx="4252913" cy="263762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2913" cy="2637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p>
    <w:p w14:paraId="00000006">
      <w:pPr>
        <w:jc w:val="center"/>
        <w:rPr>
          <w:rFonts w:ascii="Muli" w:cs="Muli" w:eastAsia="Muli" w:hAnsi="Muli"/>
          <w:i w:val="1"/>
        </w:rPr>
      </w:pPr>
      <w:r>
        <w:rPr>
          <w:rFonts w:ascii="Muli" w:hAnsi="Muli" w:cs="Muli" w:eastAsia="Muli"/>
          <w:i w:val="1"/>
        </w:rPr>
        <w:t xml:space="preserve">Grupo de Trabalho sobre Normas e Práticas, 2018-2020</w:t>
      </w:r>
    </w:p>
    <w:p w14:paraId="00000007">
      <w:pPr>
        <w:rPr>
          <w:rFonts w:ascii="Muli" w:cs="Muli" w:eastAsia="Muli" w:hAnsi="Muli"/>
          <w:b w:val="1"/>
          <w:u w:val="single"/>
        </w:rPr>
      </w:pPr>
    </w:p>
    <w:p w14:paraId="00000008">
      <w:pPr>
        <w:shd w:fill="ffffff" w:val="clear"/>
        <w:spacing w:after="0" w:line="276" w:lineRule="auto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O Grupo de Trabalho sobre Normas e Práticas da INEE (SPWG) é um grupo de 28 ONGs, agências da ONU e académicos de todo o mundo que trabalham em conjunto no âmbito de uma estrutura humanitária e de desenvolvimento para facilitar o acesso a uma educação de qualidade e um ambiente seguro para todos em situações de emergência e de recuperação pós-crise. O grupo atual (2018–2020) baseia-se nas realizações do GT desde 2004, incluindo a gestão de conhecimentos, desenvolvimento de capacidades e contextualização e aplicação das Normas Mínimas da INEE. O SPWG lidera os esforços da INEE para mobilizar conhecimentos e desenvolver estratégias inovadoras para profissionalizar e desenvolver capacidades no âmbito da Educação em situações de Emergência (EiE).</w:t>
      </w:r>
    </w:p>
    <w:p w14:paraId="00000009">
      <w:pPr>
        <w:shd w:fill="ffffff" w:val="clear"/>
        <w:spacing w:after="0" w:line="276" w:lineRule="auto"/>
        <w:rPr>
          <w:rFonts w:ascii="Muli" w:cs="Muli" w:eastAsia="Muli" w:hAnsi="Muli"/>
        </w:rPr>
      </w:pPr>
    </w:p>
    <w:p w14:paraId="0000000A">
      <w:pPr>
        <w:shd w:fill="ffffff" w:val="clear"/>
        <w:spacing w:after="0" w:line="276" w:lineRule="auto"/>
        <w:rPr>
          <w:rFonts w:ascii="Muli" w:cs="Muli" w:eastAsia="Muli" w:hAnsi="Muli"/>
          <w:b w:val="1"/>
        </w:rPr>
      </w:pPr>
      <w:r>
        <w:rPr>
          <w:rFonts w:ascii="Muli" w:hAnsi="Muli" w:cs="Muli" w:eastAsia="Muli"/>
          <w:b w:val="1"/>
        </w:rPr>
        <w:t xml:space="preserve">Prioridades e Objetivos: </w:t>
      </w:r>
    </w:p>
    <w:p w14:paraId="0000000B">
      <w:pPr>
        <w:shd w:fill="ffffff" w:val="clear"/>
        <w:spacing w:after="0" w:line="276" w:lineRule="auto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Na sua atual iteração, o SPWG dá prioridade às seguintes áreas de trabalho:</w:t>
      </w:r>
    </w:p>
    <w:p w14:paraId="0000000C">
      <w:pPr>
        <w:numPr>
          <w:ilvl w:val="0"/>
          <w:numId w:val="5"/>
        </w:numPr>
        <w:shd w:fill="ffffff" w:val="clear"/>
        <w:spacing w:after="0" w:line="276" w:lineRule="auto"/>
        <w:ind w:left="720" w:hanging="360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Harmonização do desenvolvimento profissional dos profissionais de EiE;</w:t>
      </w:r>
    </w:p>
    <w:p w14:paraId="0000000D">
      <w:pPr>
        <w:numPr>
          <w:ilvl w:val="0"/>
          <w:numId w:val="5"/>
        </w:numPr>
        <w:shd w:fill="ffffff" w:val="clear"/>
        <w:spacing w:after="0" w:line="276" w:lineRule="auto"/>
        <w:ind w:left="720" w:hanging="360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Fortalecimento da monitorização e avaliação da EiE; e</w:t>
      </w:r>
    </w:p>
    <w:p w14:paraId="0000000E">
      <w:pPr>
        <w:numPr>
          <w:ilvl w:val="0"/>
          <w:numId w:val="5"/>
        </w:numPr>
        <w:shd w:fill="ffffff" w:val="clear"/>
        <w:spacing w:after="0" w:line="276" w:lineRule="auto"/>
        <w:ind w:left="720" w:hanging="360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Melhoria da gestão de conhecimentos da EiE.</w:t>
      </w:r>
    </w:p>
    <w:p w14:paraId="0000000F">
      <w:pPr>
        <w:shd w:fill="ffffff" w:val="clear"/>
        <w:spacing w:after="0" w:line="276" w:lineRule="auto"/>
        <w:rPr>
          <w:rFonts w:ascii="Muli" w:cs="Muli" w:eastAsia="Muli" w:hAnsi="Muli"/>
        </w:rPr>
      </w:pPr>
    </w:p>
    <w:p w14:paraId="00000010">
      <w:pPr>
        <w:shd w:fill="ffffff" w:val="clear"/>
        <w:spacing w:after="0" w:line="276" w:lineRule="auto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Cada uma dessas áreas de trabalho leva adiante a missão permanente do SPWG de defender as normas mínimas da INEE (INEE MS), com o objetivo primordial de continuar a operacionalizar esta ferramenta global.</w:t>
      </w:r>
    </w:p>
    <w:p w14:paraId="00000011">
      <w:pPr>
        <w:shd w:fill="ffffff" w:val="clear"/>
        <w:spacing w:after="0" w:line="276" w:lineRule="auto"/>
        <w:rPr>
          <w:rFonts w:ascii="Muli" w:cs="Muli" w:eastAsia="Muli" w:hAnsi="Muli"/>
        </w:rPr>
      </w:pPr>
    </w:p>
    <w:p w14:paraId="00000012">
      <w:pPr>
        <w:shd w:fill="ffffff" w:val="clear"/>
        <w:spacing w:after="0" w:line="276" w:lineRule="auto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Estas prioridades também fomentam as prioridades estratégicas gerais da INEE, especialmente:</w:t>
      </w:r>
    </w:p>
    <w:p w14:paraId="00000013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rPr>
          <w:rFonts w:ascii="Muli" w:cs="Muli" w:eastAsia="Muli" w:hAnsi="Muli"/>
          <w:i w:val="1"/>
        </w:rPr>
      </w:pPr>
      <w:r>
        <w:rPr>
          <w:rFonts w:ascii="Muli" w:hAnsi="Muli" w:cs="Muli" w:eastAsia="Muli"/>
          <w:i w:val="1"/>
        </w:rPr>
        <w:t xml:space="preserve">Prioridade Estratégica 2: Aumentar a disponibilidade e acessibilidade de conhecimentos e informações que contribuem para a base factual existente necessária para informar a investigação, política e práticas.</w:t>
      </w:r>
    </w:p>
    <w:p w14:paraId="00000014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rPr>
          <w:rFonts w:ascii="Muli" w:cs="Muli" w:eastAsia="Muli" w:hAnsi="Muli"/>
          <w:i w:val="1"/>
        </w:rPr>
      </w:pPr>
      <w:r>
        <w:rPr>
          <w:rFonts w:ascii="Muli" w:hAnsi="Muli" w:cs="Muli" w:eastAsia="Muli"/>
          <w:i w:val="1"/>
        </w:rPr>
        <w:t xml:space="preserve">Prioridade Estratégica 4: Fortalecer a capacidade que os membros da INEE têm de oferecer uma educação de qualidade, segura e relevante para todos.</w:t>
      </w:r>
    </w:p>
    <w:p w14:paraId="00000015">
      <w:pPr>
        <w:shd w:fill="ffffff" w:val="clear"/>
        <w:spacing w:after="0" w:line="276" w:lineRule="auto"/>
        <w:rPr>
          <w:rFonts w:ascii="Muli" w:cs="Muli" w:eastAsia="Muli" w:hAnsi="Muli"/>
        </w:rPr>
      </w:pPr>
    </w:p>
    <w:p w14:paraId="00000016">
      <w:pPr>
        <w:shd w:fill="ffffff" w:val="clear"/>
        <w:spacing w:after="0" w:line="276" w:lineRule="auto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Os membros do SPWG também continuam a depositar a sua energia em áreas temáticas importantes, incluindo Professores em Contextos de Crise (TiCC), Apoio Psicossocial e Aprendizagem Social e Emocional (PSS-SEL) e Educação Sensível a Conflitos (CSE). </w:t>
      </w:r>
    </w:p>
    <w:p w14:paraId="00000017">
      <w:pPr>
        <w:shd w:fill="ffffff" w:val="clear"/>
        <w:spacing w:after="0" w:line="276" w:lineRule="auto"/>
        <w:rPr>
          <w:rFonts w:ascii="Muli" w:cs="Muli" w:eastAsia="Muli" w:hAnsi="Muli"/>
        </w:rPr>
      </w:pPr>
    </w:p>
    <w:p w14:paraId="00000018">
      <w:pPr>
        <w:shd w:fill="ffffff" w:val="clear"/>
        <w:spacing w:after="0" w:line="276" w:lineRule="auto"/>
        <w:rPr>
          <w:rFonts w:ascii="Muli" w:cs="Muli" w:eastAsia="Muli" w:hAnsi="Muli"/>
          <w:highlight w:val="yellow"/>
        </w:rPr>
      </w:pPr>
      <w:r>
        <w:rPr>
          <w:rFonts w:ascii="Muli" w:hAnsi="Muli" w:cs="Muli" w:eastAsia="Muli"/>
        </w:rPr>
        <w:t xml:space="preserve">Clique aqui para ler </w:t>
      </w:r>
      <w:hyperlink r:id="rId8">
        <w:r>
          <w:rPr>
            <w:rFonts w:ascii="Muli" w:hAnsi="Muli" w:cs="Muli" w:eastAsia="Muli"/>
            <w:color w:val="1155cc"/>
            <w:u w:val="single"/>
          </w:rPr>
          <w:t xml:space="preserve">Carta do Grupo de Trabalho sobre Normas e Práticas da INEE (2018-2020)</w:t>
        </w:r>
      </w:hyperlink>
      <w:r>
        <w:rPr>
          <w:rFonts w:ascii="Muli" w:hAnsi="Muli" w:cs="Muli" w:eastAsia="Muli"/>
        </w:rPr>
        <w:t>.</w:t>
      </w:r>
    </w:p>
    <w:p w14:paraId="00000019">
      <w:pPr>
        <w:shd w:fill="ffffff" w:val="clear"/>
        <w:spacing w:after="0" w:line="276" w:lineRule="auto"/>
        <w:rPr>
          <w:rFonts w:ascii="Muli" w:cs="Muli" w:eastAsia="Muli" w:hAnsi="Muli"/>
        </w:rPr>
      </w:pPr>
    </w:p>
    <w:p w14:paraId="0000001A">
      <w:pPr>
        <w:shd w:fill="ffffff" w:val="clear"/>
        <w:spacing w:after="0" w:line="276" w:lineRule="auto"/>
        <w:rPr>
          <w:rFonts w:ascii="Muli" w:cs="Muli" w:eastAsia="Muli" w:hAnsi="Muli"/>
          <w:b w:val="1"/>
        </w:rPr>
      </w:pPr>
      <w:r>
        <w:rPr>
          <w:rFonts w:ascii="Muli" w:hAnsi="Muli" w:cs="Muli" w:eastAsia="Muli"/>
          <w:b w:val="1"/>
        </w:rPr>
        <w:t xml:space="preserve">Principais Atividades:</w:t>
      </w:r>
    </w:p>
    <w:p w14:paraId="0000001B">
      <w:pPr>
        <w:numPr>
          <w:ilvl w:val="0"/>
          <w:numId w:val="3"/>
        </w:numPr>
        <w:shd w:fill="ffffff" w:val="clear"/>
        <w:spacing w:after="0" w:before="0" w:lineRule="auto"/>
        <w:ind w:left="720" w:hanging="360"/>
      </w:pPr>
      <w:r>
        <w:t>&lt;</w:t>
      </w:r>
      <w:hyperlink r:id="rId9">
        <w:r>
          <w:rPr>
            <w:rFonts w:ascii="Muli" w:hAnsi="Muli" w:cs="Muli" w:eastAsia="Muli"/>
            <w:b w:val="1"/>
            <w:color w:val="1155cc"/>
            <w:u w:val="single"/>
          </w:rPr>
          <w:t xml:space="preserve">Colaboração dos</w:t>
        </w:r>
      </w:hyperlink>
      <w:r>
        <w:rPr>
          <w:rFonts w:ascii="Muli" w:hAnsi="Muli" w:cs="Muli" w:eastAsia="Muli"/>
          <w:b w:val="1"/>
          <w:highlight w:val="white"/>
        </w:rPr>
        <w:t xml:space="preserve"> Professores em Contextos de Crise (TiCC): </w:t>
      </w:r>
      <w:r>
        <w:rPr>
          <w:rFonts w:ascii="Muli" w:hAnsi="Muli" w:cs="Muli" w:eastAsia="Muli"/>
          <w:highlight w:val="white"/>
        </w:rPr>
        <w:t xml:space="preserve">Uma colaboração ativa dos membros do grupo de trabalho da INEE, bem como um grupo de referência entre agências, unidos em torno de esforços para apoiar o desenvolvimento profissional de professores e educadores. Para saber mais sobre os TiCC, </w:t>
      </w:r>
      <w:hyperlink r:id="rId10">
        <w:r>
          <w:rPr>
            <w:rFonts w:ascii="Muli" w:hAnsi="Muli" w:cs="Muli" w:eastAsia="Muli"/>
            <w:color w:val="1155cc"/>
            <w:highlight w:val="white"/>
            <w:u w:val="single"/>
          </w:rPr>
          <w:t xml:space="preserve">clique aqui</w:t>
        </w:r>
      </w:hyperlink>
      <w:r>
        <w:rPr>
          <w:rFonts w:ascii="Muli" w:hAnsi="Muli" w:cs="Muli" w:eastAsia="Muli"/>
          <w:highlight w:val="white"/>
        </w:rPr>
        <w:t>.</w:t>
      </w:r>
    </w:p>
    <w:p w14:paraId="0000001C">
      <w:pPr>
        <w:shd w:fill="ffffff" w:val="clear"/>
        <w:spacing w:after="0" w:lineRule="auto"/>
        <w:ind w:left="720" w:firstLine="0"/>
        <w:rPr>
          <w:rFonts w:ascii="Muli" w:cs="Muli" w:eastAsia="Muli" w:hAnsi="Muli"/>
          <w:highlight w:val="white"/>
        </w:rPr>
      </w:pPr>
    </w:p>
    <w:p w14:paraId="0000001D">
      <w:pPr>
        <w:numPr>
          <w:ilvl w:val="0"/>
          <w:numId w:val="3"/>
        </w:numPr>
        <w:shd w:fill="ffffff" w:val="clear"/>
        <w:spacing w:after="0" w:lineRule="auto"/>
        <w:ind w:left="720" w:hanging="360"/>
        <w:rPr>
          <w:highlight w:val="white"/>
        </w:rPr>
      </w:pPr>
      <w:hyperlink r:id="rId11">
        <w:r>
          <w:rPr>
            <w:rFonts w:ascii="Muli" w:hAnsi="Muli" w:cs="Muli" w:eastAsia="Muli"/>
            <w:b w:val="1"/>
            <w:color w:val="1155cc"/>
            <w:highlight w:val="white"/>
            <w:u w:val="single"/>
          </w:rPr>
          <w:t xml:space="preserve">Educação Sensível a Conflitos</w:t>
        </w:r>
      </w:hyperlink>
      <w:r>
        <w:rPr>
          <w:rFonts w:ascii="Muli" w:hAnsi="Muli" w:cs="Muli" w:eastAsia="Muli"/>
          <w:b w:val="1"/>
          <w:highlight w:val="white"/>
        </w:rPr>
        <w:t>:</w:t>
      </w:r>
      <w:r>
        <w:rPr>
          <w:rFonts w:ascii="Muli" w:hAnsi="Muli" w:cs="Muli" w:eastAsia="Muli"/>
          <w:highlight w:val="white"/>
        </w:rPr>
        <w:t xml:space="preserve"> De modo a apoiar a integração da sensibilidade aos conflitos nas políticas e programas educacionais em contextos fragilizados e afetados por conflitos, a INEE desenvolveu uma série de ferramentas e documentos de orientação que compõem o </w:t>
      </w:r>
      <w:hyperlink r:id="rId12">
        <w:r>
          <w:rPr>
            <w:rFonts w:ascii="Muli" w:hAnsi="Muli" w:cs="Muli" w:eastAsia="Muli"/>
            <w:color w:val="1155cc"/>
            <w:highlight w:val="white"/>
            <w:u w:val="single"/>
          </w:rPr>
          <w:t xml:space="preserve">Pacote de Educação Sensível a Conflitos da INEE (CSE Pack)</w:t>
        </w:r>
      </w:hyperlink>
      <w:r>
        <w:rPr>
          <w:rFonts w:ascii="Muli" w:hAnsi="Muli" w:cs="Muli" w:eastAsia="Muli"/>
          <w:highlight w:val="white"/>
        </w:rPr>
        <w:t xml:space="preserve">. Em 2017, os membros dos Grupos de Trabalho sobre Normas, Práticas e Políticas Educacionais organizaram</w:t>
      </w:r>
      <w:r>
        <w:rPr>
          <w:rFonts w:ascii="Muli" w:hAnsi="Muli" w:cs="Muli" w:eastAsia="Muli"/>
          <w:i w:val="1"/>
        </w:rPr>
        <w:t xml:space="preserve">uma </w:t>
      </w:r>
      <w:hyperlink r:id="rId13">
        <w:r>
          <w:rPr>
            <w:rFonts w:ascii="Muli" w:hAnsi="Muli" w:cs="Muli" w:eastAsia="Muli"/>
            <w:i w:val="1"/>
            <w:color w:val="1155cc"/>
            <w:u w:val="single"/>
          </w:rPr>
          <w:t xml:space="preserve">Formação de Formadores de Educação Sensível a Conflitos (CSE)</w:t>
        </w:r>
      </w:hyperlink>
      <w:r>
        <w:rPr>
          <w:rFonts w:ascii="Muli" w:hAnsi="Muli" w:cs="Muli" w:eastAsia="Muli"/>
          <w:b w:val="1"/>
        </w:rPr>
        <w:t>.</w:t>
      </w:r>
      <w:r>
        <w:rPr>
          <w:rFonts w:ascii="Muli" w:hAnsi="Muli" w:cs="Muli" w:eastAsia="Muli"/>
        </w:rPr>
        <w:t xml:space="preserve"> O workshop de quatro dias foi organizado pela UNRWA e foi possível graças às duas organizações membros do EPWG, USAID e EAA-PEIC. Quarenta profissionais da educação de agências que trabalham em ambientes afetados por conflitos participaram no workshop. A Formação de Formadores (ToT) fez parte de uma iniciativa de desenvolvimento de capacidades de CSE da INEE, que visa apoiar a integração de estratégias educacionais sensíveis a conflitos na programação e políticas de agências que trabalham em ambientes fragilizados e afetados por crises.</w:t>
        <w:br/>
      </w:r>
    </w:p>
    <w:p w14:paraId="0000001E">
      <w:pPr>
        <w:numPr>
          <w:ilvl w:val="0"/>
          <w:numId w:val="3"/>
        </w:numPr>
        <w:shd w:fill="ffffff" w:val="clear"/>
        <w:spacing w:after="280" w:lineRule="auto"/>
        <w:ind w:left="720" w:hanging="360"/>
        <w:rPr>
          <w:highlight w:val="white"/>
        </w:rPr>
      </w:pPr>
      <w:hyperlink r:id="rId14">
        <w:r>
          <w:rPr>
            <w:rFonts w:ascii="Muli" w:hAnsi="Muli" w:cs="Muli" w:eastAsia="Muli"/>
            <w:b w:val="1"/>
            <w:color w:val="1155cc"/>
            <w:u w:val="single"/>
          </w:rPr>
          <w:t xml:space="preserve">Colaboração do Apoio Psicossocial (PSS) e Aprendizagem Social e Emocional (SEL)</w:t>
        </w:r>
      </w:hyperlink>
      <w:r>
        <w:rPr>
          <w:rFonts w:ascii="Muli" w:hAnsi="Muli" w:cs="Muli" w:eastAsia="Muli"/>
          <w:b w:val="1"/>
        </w:rPr>
        <w:t>:</w:t>
      </w:r>
      <w:r>
        <w:rPr>
          <w:rFonts w:ascii="Muli" w:hAnsi="Muli" w:cs="Muli" w:eastAsia="Muli"/>
        </w:rPr>
        <w:t xml:space="preserve"> Os membros do Grupo de Trabalho sobre Normas, Práticas e Políticas Educacionais lideraram o desenvolvimento de vários resultados relacionados com os temas do </w:t>
      </w:r>
      <w:r>
        <w:rPr>
          <w:rFonts w:ascii="Muli" w:hAnsi="Muli" w:cs="Muli" w:eastAsia="Muli"/>
          <w:highlight w:val="white"/>
        </w:rPr>
        <w:t xml:space="preserve">apoio psicossocial </w:t>
      </w:r>
      <w:r>
        <w:rPr>
          <w:rFonts w:ascii="Muli" w:hAnsi="Muli" w:cs="Muli" w:eastAsia="Muli"/>
        </w:rPr>
        <w:t xml:space="preserve">e da aprendizagem social e emocional, incluindo um </w:t>
      </w:r>
      <w:hyperlink r:id="rId15">
        <w:r>
          <w:rPr>
            <w:rFonts w:ascii="Muli" w:hAnsi="Muli" w:cs="Muli" w:eastAsia="Muli"/>
            <w:i w:val="1"/>
            <w:color w:val="1155cc"/>
            <w:u w:val="single"/>
          </w:rPr>
          <w:t xml:space="preserve">Documento de Referência sobre Apoio Psicossocial (PSS) e Aprendizagem Social e Emocional (SEL) para Crianças e Jovens</w:t>
        </w:r>
      </w:hyperlink>
      <w:r>
        <w:rPr>
          <w:rFonts w:ascii="Muli" w:hAnsi="Muli" w:cs="Muli" w:eastAsia="Muli"/>
        </w:rPr>
        <w:t xml:space="preserve"> e a </w:t>
      </w:r>
      <w:hyperlink r:id="rId16">
        <w:r>
          <w:rPr>
            <w:rFonts w:ascii="Muli" w:hAnsi="Muli" w:cs="Muli" w:eastAsia="Muli"/>
            <w:i w:val="1"/>
            <w:color w:val="1155cc"/>
            <w:u w:val="single"/>
          </w:rPr>
          <w:t xml:space="preserve">Nota de Orientação sobre Apoio Psicossocial da INEE</w:t>
        </w:r>
      </w:hyperlink>
      <w:r>
        <w:rPr>
          <w:rFonts w:ascii="Muli" w:hAnsi="Muli" w:cs="Muli" w:eastAsia="Muli"/>
        </w:rPr>
        <w:t xml:space="preserve">. Consulte a </w:t>
      </w:r>
      <w:hyperlink r:id="rId17">
        <w:r>
          <w:rPr>
            <w:rFonts w:ascii="Muli" w:hAnsi="Muli" w:cs="Muli" w:eastAsia="Muli"/>
            <w:color w:val="1155cc"/>
            <w:u w:val="single"/>
          </w:rPr>
          <w:t xml:space="preserve">Coleção de PSS e SEL da INEE</w:t>
        </w:r>
      </w:hyperlink>
      <w:r>
        <w:rPr>
          <w:rFonts w:ascii="Muli" w:hAnsi="Muli" w:cs="Muli" w:eastAsia="Muli"/>
        </w:rPr>
        <w:t xml:space="preserve"> para fazer o download destes recursos e saber mais.</w:t>
      </w:r>
    </w:p>
    <w:p w14:paraId="0000001F">
      <w:pPr>
        <w:shd w:fill="ffffff" w:val="clear"/>
        <w:spacing w:after="0" w:lineRule="auto"/>
        <w:rPr>
          <w:rFonts w:ascii="Muli" w:cs="Muli" w:eastAsia="Muli" w:hAnsi="Muli"/>
          <w:b w:val="1"/>
        </w:rPr>
      </w:pPr>
      <w:r>
        <w:rPr>
          <w:rFonts w:ascii="Muli" w:hAnsi="Muli" w:cs="Muli" w:eastAsia="Muli"/>
          <w:b w:val="1"/>
        </w:rPr>
        <w:t xml:space="preserve">Recursos Fundamentais:</w:t>
      </w:r>
    </w:p>
    <w:p w14:paraId="00000020">
      <w:pPr>
        <w:numPr>
          <w:ilvl w:val="0"/>
          <w:numId w:val="7"/>
        </w:numPr>
        <w:shd w:fill="ffffff" w:val="clear"/>
        <w:spacing w:after="0" w:lineRule="auto"/>
        <w:ind w:left="720" w:hanging="360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Normas Mínimas da INEE para Educação em situações de Emergência</w:t>
      </w:r>
    </w:p>
    <w:p w14:paraId="00000021">
      <w:pPr>
        <w:numPr>
          <w:ilvl w:val="0"/>
          <w:numId w:val="7"/>
        </w:numPr>
        <w:shd w:fill="ffffff" w:val="clear"/>
        <w:spacing w:after="0" w:lineRule="auto"/>
        <w:ind w:left="720" w:hanging="360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Pacote de Educação Sensível a Conflitos</w:t>
      </w:r>
    </w:p>
    <w:p w14:paraId="00000022">
      <w:pPr>
        <w:numPr>
          <w:ilvl w:val="0"/>
          <w:numId w:val="7"/>
        </w:numPr>
        <w:shd w:fill="ffffff" w:val="clear"/>
        <w:spacing w:after="0" w:lineRule="auto"/>
        <w:ind w:left="720" w:hanging="360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Pacote de Coaching entre Pares para TiCC</w:t>
      </w:r>
    </w:p>
    <w:p w14:paraId="00000023">
      <w:pPr>
        <w:numPr>
          <w:ilvl w:val="0"/>
          <w:numId w:val="7"/>
        </w:numPr>
        <w:shd w:fill="ffffff" w:val="clear"/>
        <w:spacing w:after="0" w:lineRule="auto"/>
        <w:ind w:left="720" w:hanging="360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Pacote de Formação para TiCC</w:t>
      </w:r>
    </w:p>
    <w:p w14:paraId="00000024">
      <w:pPr>
        <w:numPr>
          <w:ilvl w:val="0"/>
          <w:numId w:val="7"/>
        </w:numPr>
        <w:shd w:fill="ffffff" w:val="clear"/>
        <w:spacing w:after="280" w:lineRule="auto"/>
        <w:ind w:left="720" w:hanging="360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Nota de Orientação sobre PSS-SEL</w:t>
      </w:r>
    </w:p>
    <w:p w14:paraId="00000025">
      <w:pPr>
        <w:shd w:fill="ffffff" w:val="clear"/>
        <w:rPr>
          <w:rFonts w:ascii="Muli" w:cs="Muli" w:eastAsia="Muli" w:hAnsi="Muli"/>
        </w:rPr>
      </w:pPr>
    </w:p>
    <w:p w14:paraId="00000026">
      <w:pPr>
        <w:shd w:fill="ffffff" w:val="clear"/>
        <w:spacing w:after="0" w:line="276" w:lineRule="auto"/>
        <w:rPr>
          <w:rFonts w:ascii="Muli" w:cs="Muli" w:eastAsia="Muli" w:hAnsi="Muli"/>
        </w:rPr>
      </w:pPr>
      <w:r>
        <w:rPr>
          <w:rFonts w:ascii="Muli" w:hAnsi="Muli" w:cs="Muli" w:eastAsia="Muli"/>
          <w:b w:val="1"/>
        </w:rPr>
        <w:t xml:space="preserve">Membros do Grupo de Trabalho sobre Normas e Práticas, 2018-2020</w:t>
      </w:r>
    </w:p>
    <w:p w14:paraId="00000027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ChildFund International</w:t>
      </w:r>
    </w:p>
    <w:p w14:paraId="00000028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Creative Associates International</w:t>
      </w:r>
    </w:p>
    <w:p w14:paraId="00000029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FHI 360</w:t>
      </w:r>
    </w:p>
    <w:p w14:paraId="0000002A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Finn Church Aid Foundation</w:t>
      </w:r>
    </w:p>
    <w:p w14:paraId="0000002B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Global Education Cluster (GEC)</w:t>
      </w:r>
    </w:p>
    <w:p w14:paraId="0000002C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Global Partnership for Education (GPE)</w:t>
      </w:r>
    </w:p>
    <w:p w14:paraId="0000002D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International Rescue Committee</w:t>
      </w:r>
    </w:p>
    <w:p w14:paraId="0000002E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Jesuit Refugee Service (JRS) / Fordham University</w:t>
      </w:r>
    </w:p>
    <w:p w14:paraId="0000002F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Mavi Kalem Social Assistance e Charity Association</w:t>
      </w:r>
    </w:p>
    <w:p w14:paraId="00000030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Norwegian Refugee Council (NRC)</w:t>
      </w:r>
    </w:p>
    <w:p w14:paraId="00000031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Oxfam IBIS</w:t>
      </w:r>
    </w:p>
    <w:p w14:paraId="00000032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People in Need (PIN)</w:t>
      </w:r>
    </w:p>
    <w:p w14:paraId="00000033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Plan International Norway</w:t>
      </w:r>
    </w:p>
    <w:p w14:paraId="00000034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Reach Out to Asia, Education Above All</w:t>
      </w:r>
    </w:p>
    <w:p w14:paraId="00000035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Relief International</w:t>
      </w:r>
    </w:p>
    <w:p w14:paraId="00000036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RET International</w:t>
      </w:r>
    </w:p>
    <w:p w14:paraId="00000037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Right To Play</w:t>
      </w:r>
    </w:p>
    <w:p w14:paraId="00000038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RTI International</w:t>
      </w:r>
    </w:p>
    <w:p w14:paraId="00000039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Save the Children International</w:t>
      </w:r>
    </w:p>
    <w:p w14:paraId="0000003A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Save Youth Future Society</w:t>
      </w:r>
    </w:p>
    <w:p w14:paraId="0000003B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Teachers College, Columbia University</w:t>
      </w:r>
    </w:p>
    <w:p w14:paraId="0000003C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>UNESCO</w:t>
      </w:r>
    </w:p>
    <w:p w14:paraId="0000003D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>UNICEF</w:t>
      </w:r>
    </w:p>
    <w:p w14:paraId="0000003E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University of Geneva, InZone</w:t>
      </w:r>
    </w:p>
    <w:p w14:paraId="0000003F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>UNRWA</w:t>
      </w:r>
    </w:p>
    <w:p w14:paraId="00000040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>USAID</w:t>
      </w:r>
    </w:p>
    <w:p w14:paraId="00000041">
      <w:pPr>
        <w:numPr>
          <w:ilvl w:val="0"/>
          <w:numId w:val="4"/>
        </w:numPr>
        <w:spacing w:after="0" w:line="276" w:lineRule="auto"/>
        <w:ind w:left="1100" w:hanging="360"/>
      </w:pPr>
      <w:r>
        <w:rPr>
          <w:rFonts w:ascii="Muli" w:hAnsi="Muli" w:cs="Muli" w:eastAsia="Muli"/>
        </w:rPr>
        <w:t xml:space="preserve">War Child</w:t>
      </w:r>
    </w:p>
    <w:p w14:paraId="00000042">
      <w:pPr>
        <w:numPr>
          <w:ilvl w:val="0"/>
          <w:numId w:val="4"/>
        </w:numPr>
        <w:spacing w:after="140" w:line="276" w:lineRule="auto"/>
        <w:ind w:left="1100" w:hanging="360"/>
      </w:pPr>
      <w:r>
        <w:rPr>
          <w:rFonts w:ascii="Muli" w:hAnsi="Muli" w:cs="Muli" w:eastAsia="Muli"/>
        </w:rPr>
        <w:t xml:space="preserve">World Vision International</w:t>
      </w:r>
    </w:p>
    <w:p w14:paraId="00000043">
      <w:pPr>
        <w:spacing w:after="140" w:line="276" w:lineRule="auto"/>
        <w:rPr>
          <w:rFonts w:ascii="Muli" w:cs="Muli" w:eastAsia="Muli" w:hAnsi="Muli"/>
        </w:rPr>
      </w:pPr>
      <w:r>
        <w:rPr>
          <w:rFonts w:ascii="Muli" w:hAnsi="Muli" w:cs="Muli" w:eastAsia="Muli"/>
          <w:i w:val="1"/>
        </w:rPr>
        <w:t xml:space="preserve">Funcionários do Secretariado da INEE: </w:t>
      </w:r>
      <w:r>
        <w:rPr>
          <w:rFonts w:ascii="Muli" w:hAnsi="Muli" w:cs="Muli" w:eastAsia="Muli"/>
        </w:rPr>
        <w:t xml:space="preserve">Coordenador das Normas e Práticas, Natalie Brackett</w:t>
      </w:r>
    </w:p>
    <w:p w14:paraId="00000044">
      <w:pPr>
        <w:keepNext w:val="0"/>
        <w:keepLines w:val="0"/>
        <w:shd w:fill="ffffff" w:val="clear"/>
        <w:spacing w:after="0" w:before="0" w:line="276" w:lineRule="auto"/>
        <w:jc w:val="both"/>
        <w:rPr>
          <w:rFonts w:ascii="Muli" w:cs="Muli" w:eastAsia="Muli" w:hAnsi="Muli"/>
          <w:b w:val="1"/>
        </w:rPr>
      </w:pPr>
      <w:r>
        <w:rPr>
          <w:rFonts w:ascii="Muli" w:hAnsi="Muli" w:cs="Muli" w:eastAsia="Muli"/>
          <w:b w:val="1"/>
        </w:rPr>
        <w:t xml:space="preserve">Atas da Reunião e Relatórios</w:t>
      </w:r>
    </w:p>
    <w:p w14:paraId="00000045">
      <w:pPr>
        <w:numPr>
          <w:ilvl w:val="0"/>
          <w:numId w:val="6"/>
        </w:numPr>
        <w:spacing w:after="0" w:line="276" w:lineRule="auto"/>
        <w:ind w:left="1100" w:hanging="360"/>
        <w:jc w:val="both"/>
      </w:pPr>
      <w:hyperlink r:id="rId18">
        <w:r>
          <w:rPr>
            <w:rFonts w:ascii="Muli" w:hAnsi="Muli" w:cs="Muli" w:eastAsia="Muli"/>
            <w:color w:val="1155cc"/>
            <w:u w:val="single"/>
          </w:rPr>
          <w:t xml:space="preserve">Nairobi, Quénia, outubro de 2018</w:t>
        </w:r>
      </w:hyperlink>
    </w:p>
    <w:p w14:paraId="00000046">
      <w:pPr>
        <w:numPr>
          <w:ilvl w:val="0"/>
          <w:numId w:val="6"/>
        </w:numPr>
        <w:spacing w:after="0" w:line="276" w:lineRule="auto"/>
        <w:ind w:left="1100" w:hanging="360"/>
        <w:jc w:val="both"/>
      </w:pPr>
      <w:hyperlink r:id="rId19">
        <w:r>
          <w:rPr>
            <w:rFonts w:ascii="Muli" w:hAnsi="Muli" w:cs="Muli" w:eastAsia="Muli"/>
            <w:color w:val="1155cc"/>
            <w:u w:val="single"/>
          </w:rPr>
          <w:t xml:space="preserve">Oslo, Noruega, maio de 2018</w:t>
        </w:r>
      </w:hyperlink>
    </w:p>
    <w:p w14:paraId="00000047">
      <w:pPr>
        <w:numPr>
          <w:ilvl w:val="0"/>
          <w:numId w:val="6"/>
        </w:numPr>
        <w:spacing w:after="140" w:line="276" w:lineRule="auto"/>
        <w:ind w:left="1100" w:hanging="360"/>
        <w:jc w:val="both"/>
      </w:pPr>
      <w:hyperlink r:id="rId20">
        <w:r>
          <w:rPr>
            <w:rFonts w:ascii="Muli" w:hAnsi="Muli" w:cs="Muli" w:eastAsia="Muli"/>
            <w:color w:val="1155cc"/>
            <w:u w:val="single"/>
          </w:rPr>
          <w:t xml:space="preserve">Florença, Itália, outubro de 2017</w:t>
        </w:r>
      </w:hyperlink>
    </w:p>
    <w:p w14:paraId="00000048">
      <w:pPr>
        <w:spacing w:after="0" w:line="276" w:lineRule="auto"/>
        <w:rPr>
          <w:rFonts w:ascii="Muli" w:cs="Muli" w:eastAsia="Muli" w:hAnsi="Muli"/>
          <w:b w:val="1"/>
        </w:rPr>
      </w:pPr>
      <w:r>
        <w:rPr>
          <w:rFonts w:ascii="Muli" w:hAnsi="Muli" w:cs="Muli" w:eastAsia="Muli"/>
          <w:b w:val="1"/>
        </w:rPr>
        <w:t>História</w:t>
      </w:r>
    </w:p>
    <w:p w14:paraId="00000049">
      <w:pPr>
        <w:spacing w:after="0" w:line="276" w:lineRule="auto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Em 2003, a INEE estabeleceu pela primeira vez um grupo de trabalho sobre normas mínimas para supervisionar o desenvolvimento da ferramenta básica da rede, as </w:t>
      </w:r>
      <w:hyperlink r:id="rId21">
        <w:r>
          <w:rPr>
            <w:rFonts w:ascii="Muli" w:hAnsi="Muli" w:cs="Muli" w:eastAsia="Muli"/>
            <w:color w:val="1155cc"/>
            <w:u w:val="single"/>
          </w:rPr>
          <w:t xml:space="preserve">Normas Mínimas da INEE</w:t>
        </w:r>
      </w:hyperlink>
      <w:r>
        <w:rPr>
          <w:rFonts w:ascii="Muli" w:hAnsi="Muli" w:cs="Muli" w:eastAsia="Muli"/>
        </w:rPr>
        <w:t xml:space="preserve"> (INEE MS). Desde então, o GT foi reconstituído várias vezes para avançar, promover e expandir os esforços globais em torno das Normas Mínimas, incluindo uma alteração de nome para Grupo de Trabalho sobre Normas e Práticas (SPWG) em 2016. Para mais informações sobre a história e o desenvolvimento das Normas Mínimas da INEE, clique </w:t>
      </w:r>
      <w:hyperlink r:id="rId22">
        <w:r>
          <w:rPr>
            <w:rFonts w:ascii="Muli" w:hAnsi="Muli" w:cs="Muli" w:eastAsia="Muli"/>
            <w:color w:val="1155cc"/>
            <w:u w:val="single"/>
          </w:rPr>
          <w:t>aqui</w:t>
        </w:r>
      </w:hyperlink>
      <w:r>
        <w:rPr>
          <w:rFonts w:ascii="Muli" w:hAnsi="Muli" w:cs="Muli" w:eastAsia="Muli"/>
        </w:rPr>
        <w:t>.</w:t>
      </w:r>
    </w:p>
    <w:p w14:paraId="0000004A">
      <w:pPr>
        <w:spacing w:after="0" w:line="276" w:lineRule="auto"/>
        <w:rPr>
          <w:rFonts w:ascii="Muli" w:cs="Muli" w:eastAsia="Muli" w:hAnsi="Muli"/>
        </w:rPr>
      </w:pPr>
    </w:p>
    <w:p w14:paraId="0000004B">
      <w:pPr>
        <w:shd w:fill="ffffff" w:val="clear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Clique para ler sobre as </w:t>
      </w:r>
      <w:hyperlink r:id="rId23">
        <w:r>
          <w:rPr>
            <w:rFonts w:ascii="Muli" w:hAnsi="Muli" w:cs="Muli" w:eastAsia="Muli"/>
            <w:color w:val="1155cc"/>
            <w:u w:val="single"/>
          </w:rPr>
          <w:t xml:space="preserve">principais conquistas deste grupo de trabalho entre 2004-2015</w:t>
        </w:r>
      </w:hyperlink>
      <w:r>
        <w:rPr>
          <w:rFonts w:ascii="Muli" w:hAnsi="Muli" w:cs="Muli" w:eastAsia="Muli"/>
        </w:rPr>
        <w:t>.</w:t>
      </w:r>
    </w:p>
    <w:p w14:paraId="0000004C">
      <w:pPr>
        <w:spacing w:after="0" w:line="276" w:lineRule="auto"/>
        <w:rPr>
          <w:rFonts w:ascii="Muli" w:cs="Muli" w:eastAsia="Muli" w:hAnsi="Muli"/>
        </w:rPr>
      </w:pPr>
    </w:p>
    <w:p w14:paraId="0000004D">
      <w:pPr>
        <w:spacing w:after="0" w:line="276" w:lineRule="auto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O foco de cada grupo de trabalho até a data está listado abaixo:</w:t>
        <w:br/>
      </w:r>
    </w:p>
    <w:p w14:paraId="0000004E">
      <w:pPr>
        <w:numPr>
          <w:ilvl w:val="0"/>
          <w:numId w:val="1"/>
        </w:numPr>
        <w:ind w:left="720" w:hanging="360"/>
        <w:rPr>
          <w:rFonts w:ascii="Muli" w:cs="Muli" w:eastAsia="Muli" w:hAnsi="Muli"/>
        </w:rPr>
      </w:pPr>
      <w:hyperlink r:id="rId24">
        <w:r>
          <w:rPr>
            <w:rFonts w:ascii="Muli" w:hAnsi="Muli" w:cs="Muli" w:eastAsia="Muli"/>
            <w:color w:val="1155cc"/>
            <w:u w:val="single"/>
          </w:rPr>
          <w:t>2015-2017:</w:t>
        </w:r>
      </w:hyperlink>
      <w:r>
        <w:rPr>
          <w:rFonts w:ascii="Muli" w:hAnsi="Muli" w:cs="Muli" w:eastAsia="Muli"/>
        </w:rPr>
        <w:t xml:space="preserve"> Liderou a mobilização dos conhecimentos sobre EiE, a contextualização e implementação das Normas Mínimas da INEE e desenvolveu estratégias inovadoras para profissionalizar e desenvolver capacidades no âmbito da EiE, focando-se em ter um impacto evidente ao nível do terreno e do país. </w:t>
      </w:r>
    </w:p>
    <w:p w14:paraId="0000004F">
      <w:pPr>
        <w:numPr>
          <w:ilvl w:val="0"/>
          <w:numId w:val="1"/>
        </w:numPr>
        <w:ind w:left="720" w:hanging="360"/>
        <w:rPr>
          <w:rFonts w:ascii="Muli" w:cs="Muli" w:eastAsia="Muli" w:hAnsi="Muli"/>
        </w:rPr>
      </w:pPr>
      <w:hyperlink r:id="rId25">
        <w:r>
          <w:rPr>
            <w:rFonts w:ascii="Muli" w:hAnsi="Muli" w:cs="Muli" w:eastAsia="Muli"/>
            <w:color w:val="1155cc"/>
            <w:u w:val="single"/>
          </w:rPr>
          <w:t>2013-2015</w:t>
        </w:r>
      </w:hyperlink>
      <w:r>
        <w:rPr>
          <w:rFonts w:ascii="Muli" w:hAnsi="Muli" w:cs="Muli" w:eastAsia="Muli"/>
        </w:rPr>
        <w:t xml:space="preserve">: Expandiu o seu foco para apoiar a política e a programação da educação em todas as fases da resposta a emergências a nível nacional através da utilização das Normas Mínimas da INEE e apoiar a gestão dos conhecimentos e o fortalecimento da base factual em torno da EiE através da investigação, avaliação e partilha de conhecimentos</w:t>
      </w:r>
    </w:p>
    <w:p w14:paraId="00000050">
      <w:pPr>
        <w:numPr>
          <w:ilvl w:val="0"/>
          <w:numId w:val="1"/>
        </w:numPr>
        <w:ind w:left="720" w:hanging="360"/>
        <w:rPr>
          <w:rFonts w:ascii="Muli" w:cs="Muli" w:eastAsia="Muli" w:hAnsi="Muli"/>
        </w:rPr>
      </w:pPr>
      <w:r>
        <w:rPr>
          <w:rFonts w:ascii="Muli" w:hAnsi="Muli" w:cs="Muli" w:eastAsia="Muli"/>
        </w:rPr>
        <w:t xml:space="preserve">2011-2013: Mandato renovado e membros reconstituídos para aprimorar o conhecimento e a implementação das Normas Mínimas da INEE.</w:t>
      </w:r>
    </w:p>
    <w:p w14:paraId="00000051">
      <w:pPr>
        <w:numPr>
          <w:ilvl w:val="0"/>
          <w:numId w:val="1"/>
        </w:numPr>
        <w:spacing w:after="0" w:line="276" w:lineRule="auto"/>
        <w:ind w:left="720" w:hanging="360"/>
        <w:rPr>
          <w:rFonts w:ascii="Muli" w:cs="Muli" w:eastAsia="Muli" w:hAnsi="Muli"/>
        </w:rPr>
      </w:pPr>
      <w:hyperlink r:id="rId26">
        <w:r>
          <w:rPr>
            <w:rFonts w:ascii="Muli" w:hAnsi="Muli" w:cs="Muli" w:eastAsia="Muli"/>
            <w:color w:val="1155cc"/>
            <w:u w:val="single"/>
          </w:rPr>
          <w:t>2009-2011</w:t>
        </w:r>
      </w:hyperlink>
      <w:r>
        <w:rPr>
          <w:rFonts w:ascii="Muli" w:hAnsi="Muli" w:cs="Muli" w:eastAsia="Muli"/>
        </w:rPr>
        <w:t xml:space="preserve">: Liderou a atualização das Normas Mínimas da INEE, a criação do Conjunto de Ferramentas da INEE e apoiou a promoção e aplicação mais abrangente das Normas.</w:t>
      </w:r>
    </w:p>
    <w:p w14:paraId="00000052">
      <w:pPr>
        <w:numPr>
          <w:ilvl w:val="0"/>
          <w:numId w:val="1"/>
        </w:numPr>
        <w:ind w:left="720" w:hanging="360"/>
        <w:rPr>
          <w:rFonts w:ascii="Muli" w:cs="Muli" w:eastAsia="Muli" w:hAnsi="Muli"/>
        </w:rPr>
      </w:pPr>
      <w:hyperlink r:id="rId27">
        <w:r>
          <w:rPr>
            <w:rFonts w:ascii="Muli" w:hAnsi="Muli" w:cs="Muli" w:eastAsia="Muli"/>
            <w:color w:val="1155cc"/>
            <w:u w:val="single"/>
          </w:rPr>
          <w:t>2005-2009</w:t>
        </w:r>
      </w:hyperlink>
      <w:r>
        <w:rPr>
          <w:rFonts w:ascii="Muli" w:hAnsi="Muli" w:cs="Muli" w:eastAsia="Muli"/>
        </w:rPr>
        <w:t xml:space="preserve">: Supervisionar a promoção, formação, análise e implementação das Normas Mínimas da INEE</w:t>
      </w:r>
    </w:p>
    <w:p w14:paraId="00000053">
      <w:pPr>
        <w:ind w:left="720" w:firstLine="0"/>
        <w:rPr>
          <w:rFonts w:ascii="Muli" w:cs="Muli" w:eastAsia="Muli" w:hAnsi="Muli"/>
        </w:rPr>
      </w:pPr>
    </w:p>
    <w:p w14:paraId="00000054">
      <w:pPr>
        <w:rPr>
          <w:rFonts w:ascii="Muli" w:cs="Muli" w:eastAsia="Muli" w:hAnsi="Muli"/>
          <w:i w:val="1"/>
        </w:rPr>
      </w:pPr>
      <w:r>
        <w:rPr>
          <w:rFonts w:ascii="Muli" w:hAnsi="Muli" w:cs="Muli" w:eastAsia="Muli"/>
          <w:i w:val="1"/>
        </w:rPr>
        <w:t xml:space="preserve">Para mais informações sobre o Grupo de Trabalho sobre Normas e Práticas, contacte </w:t>
      </w:r>
      <w:hyperlink r:id="rId28">
        <w:r>
          <w:rPr>
            <w:rFonts w:ascii="Muli" w:hAnsi="Muli" w:cs="Muli" w:eastAsia="Muli"/>
            <w:i w:val="1"/>
            <w:color w:val="1155cc"/>
            <w:u w:val="single"/>
          </w:rPr>
          <w:t>minimumstandards@inee.org</w:t>
        </w:r>
      </w:hyperlink>
      <w:r>
        <w:rPr>
          <w:rFonts w:ascii="Muli" w:hAnsi="Muli" w:cs="Muli" w:eastAsia="Muli"/>
          <w:i w:val="1"/>
        </w:rPr>
        <w:t>.</w:t>
      </w:r>
    </w:p>
    <w:p w14:paraId="00000055">
      <w:pPr>
        <w:rPr>
          <w:rFonts w:ascii="Muli" w:cs="Muli" w:eastAsia="Muli" w:hAnsi="Muli"/>
          <w:b w:val="1"/>
          <w:color w:val="ff0000"/>
          <w:sz w:val="24"/>
          <w:highlight w:val="yellow"/>
        </w:rPr>
      </w:pPr>
    </w:p>
    <w:sectPr>
      <w:headerReference r:id="rId29" w:type="default"/>
      <w:headerReference r:id="rId30" w:type="first"/>
      <w:footerReference r:id="rId31" w:type="first"/>
      <w:pgSz w:h="15840" w:w="12240"/>
      <w:pgMar w:bottom="1080" w:top="1080" w:left="108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u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14:paraId="00000059"/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14:paraId="00000056">
    <w:pPr>
      <w:tabs>
        <w:tab w:val="center" w:pos="4680"/>
        <w:tab w:val="right" w:pos="9360"/>
      </w:tabs>
      <w:spacing w:line="240" w:lineRule="auto"/>
      <w:jc w:val="left"/>
    </w:pP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14:paraId="00000057">
    <w:pPr>
      <w:tabs>
        <w:tab w:val="center" w:pos="4680"/>
        <w:tab w:val="right" w:pos="9360"/>
      </w:tabs>
      <w:spacing w:line="240" w:lineRule="auto"/>
      <w:jc w:val="left"/>
      <w:rPr>
        <w:rFonts w:ascii="Calibri" w:cs="Calibri" w:eastAsia="Calibri" w:hAnsi="Calibri"/>
      </w:rPr>
    </w:pPr>
  </w:p>
  <w:p w14:paraId="00000058">
    <w:pPr>
      <w:tabs>
        <w:tab w:val="center" w:pos="4680"/>
        <w:tab w:val="right" w:pos="9360"/>
      </w:tabs>
      <w:spacing w:line="240" w:lineRule="auto"/>
      <w:jc w:val="center"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ekS0QYhSju817LnvIwI36bYEXUh1t3Iz/view" TargetMode="External"/><Relationship Id="rId22" Type="http://schemas.openxmlformats.org/officeDocument/2006/relationships/hyperlink" Target="http://archive.ineesite.org/en/minimum-standards/history" TargetMode="External"/><Relationship Id="rId21" Type="http://schemas.openxmlformats.org/officeDocument/2006/relationships/hyperlink" Target="http://inee.org/resources/inee-minimum-standards-2010" TargetMode="External"/><Relationship Id="rId24" Type="http://schemas.openxmlformats.org/officeDocument/2006/relationships/hyperlink" Target="https://docs.google.com/document/d/1RO9i8HYV2wIwHRxZUoQHrKRwDhyl2F58AH2aUe2hAis/edit" TargetMode="External"/><Relationship Id="rId23" Type="http://schemas.openxmlformats.org/officeDocument/2006/relationships/hyperlink" Target="https://inee.org/resources/key-accomplishments-inee-working-group-minimum-standards-2004-201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ee.org/collaboratives/ticc" TargetMode="External"/><Relationship Id="rId26" Type="http://schemas.openxmlformats.org/officeDocument/2006/relationships/hyperlink" Target="http://archive.ineesite.org/en/minimum-standards/working-group/09-11" TargetMode="External"/><Relationship Id="rId25" Type="http://schemas.openxmlformats.org/officeDocument/2006/relationships/hyperlink" Target="http://inee.org/resources/inee-working-group-minimum-standards-strategic-plan-2013-2015" TargetMode="External"/><Relationship Id="rId28" Type="http://schemas.openxmlformats.org/officeDocument/2006/relationships/hyperlink" Target="mailto:minimumstandards@inee.org" TargetMode="External"/><Relationship Id="rId27" Type="http://schemas.openxmlformats.org/officeDocument/2006/relationships/hyperlink" Target="http://archive.ineesite.org/en/minimum-standards/working-group/05-09" TargetMode="External"/><Relationship Id="rId5" Type="http://schemas.openxmlformats.org/officeDocument/2006/relationships/styles" Target="styles.xml"/><Relationship Id="rId6" Type="http://schemas.openxmlformats.org/officeDocument/2006/relationships/hyperlink" Target="https://inee.org/working-groups/standards-and-practice" TargetMode="External"/><Relationship Id="rId29" Type="http://schemas.openxmlformats.org/officeDocument/2006/relationships/header" Target="header2.xml"/><Relationship Id="rId7" Type="http://schemas.openxmlformats.org/officeDocument/2006/relationships/image" Target="media/image1.jpg"/><Relationship Id="rId8" Type="http://schemas.openxmlformats.org/officeDocument/2006/relationships/hyperlink" Target="https://drive.google.com/file/d/1xgNqNLE83xfEgBGN1WX_hJ9SEXHkonsH/view" TargetMode="External"/><Relationship Id="rId31" Type="http://schemas.openxmlformats.org/officeDocument/2006/relationships/footer" Target="footer1.xml"/><Relationship Id="rId30" Type="http://schemas.openxmlformats.org/officeDocument/2006/relationships/header" Target="header1.xml"/><Relationship Id="rId11" Type="http://schemas.openxmlformats.org/officeDocument/2006/relationships/hyperlink" Target="http://www.ineesite.org/en/conflict-sensitive-education" TargetMode="External"/><Relationship Id="rId10" Type="http://schemas.openxmlformats.org/officeDocument/2006/relationships/hyperlink" Target="https://www.inee.org/collaboratives/ticc" TargetMode="External"/><Relationship Id="rId13" Type="http://schemas.openxmlformats.org/officeDocument/2006/relationships/hyperlink" Target="https://www.unrwa.org/newsroom/press-releases/unrwa-hosts-inter-agency-network-education-emergencies-inee-conflict" TargetMode="External"/><Relationship Id="rId12" Type="http://schemas.openxmlformats.org/officeDocument/2006/relationships/hyperlink" Target="http://toolkit.ineesite.org/inee_conflict_sensitive_education_pack" TargetMode="External"/><Relationship Id="rId15" Type="http://schemas.openxmlformats.org/officeDocument/2006/relationships/hyperlink" Target="http://www.ineesite.org/en/resources/inee-background-paper-on-psychosocial-support-and-social-and-emotional-lear" TargetMode="External"/><Relationship Id="rId14" Type="http://schemas.openxmlformats.org/officeDocument/2006/relationships/hyperlink" Target="http://inee.org/collaboratives/pss-sel" TargetMode="External"/><Relationship Id="rId17" Type="http://schemas.openxmlformats.org/officeDocument/2006/relationships/hyperlink" Target="https://inee.org/collections/psychosocial-support-and-social-and-emotional-learning" TargetMode="External"/><Relationship Id="rId16" Type="http://schemas.openxmlformats.org/officeDocument/2006/relationships/hyperlink" Target="http://www.ineesite.org/en/psychosocial-support-social-emotional-learning" TargetMode="External"/><Relationship Id="rId19" Type="http://schemas.openxmlformats.org/officeDocument/2006/relationships/hyperlink" Target="https://docs.google.com/document/d/16MQSRB1pUBO6yO6qc1HQUJsOFMD3j3O8eIJjLaCntIo/edit?usp=sharing" TargetMode="External"/><Relationship Id="rId18" Type="http://schemas.openxmlformats.org/officeDocument/2006/relationships/hyperlink" Target="https://docs.google.com/document/d/14IikxKt-DfebpEkSH66nIdgu4bqrPuN-kCXSj8_MtPY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-regular.ttf"/><Relationship Id="rId2" Type="http://schemas.openxmlformats.org/officeDocument/2006/relationships/font" Target="fonts/Muli-bold.ttf"/><Relationship Id="rId3" Type="http://schemas.openxmlformats.org/officeDocument/2006/relationships/font" Target="fonts/Muli-italic.ttf"/><Relationship Id="rId4" Type="http://schemas.openxmlformats.org/officeDocument/2006/relationships/font" Target="fonts/Mu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